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00523" w14:textId="5E1942B0" w:rsidR="00C45594" w:rsidRDefault="001D176C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7030A0"/>
          <w:sz w:val="36"/>
          <w:szCs w:val="36"/>
        </w:rPr>
      </w:pPr>
      <w:bookmarkStart w:id="0" w:name="_gjdgxs"/>
      <w:bookmarkEnd w:id="0"/>
      <w:r>
        <w:rPr>
          <w:rFonts w:ascii="Calibri" w:hAnsi="Calibri"/>
          <w:b/>
          <w:color w:val="7030A0"/>
          <w:sz w:val="36"/>
        </w:rPr>
        <w:t>The University of Law gibt Pläne für die Campus-Wiedereröffnung im September bekannt</w:t>
      </w:r>
    </w:p>
    <w:p w14:paraId="3561DB3E" w14:textId="77777777" w:rsidR="00C45594" w:rsidRDefault="00C45594">
      <w:bookmarkStart w:id="1" w:name="_2x09k13v1pz5"/>
      <w:bookmarkEnd w:id="1"/>
    </w:p>
    <w:p w14:paraId="0624B6F6" w14:textId="77777777" w:rsidR="00C45594" w:rsidRDefault="00C45594">
      <w:bookmarkStart w:id="2" w:name="_taxqa6o22o8q"/>
      <w:bookmarkEnd w:id="2"/>
    </w:p>
    <w:p w14:paraId="498BC240" w14:textId="136EA870" w:rsidR="00C45594" w:rsidRDefault="0036080F">
      <w:pPr>
        <w:jc w:val="both"/>
      </w:pPr>
      <w:r>
        <w:t xml:space="preserve">Im Zuge der schrittweisen Lockerungen der durch den Lockdown bedingten Einschränkungen hat </w:t>
      </w:r>
      <w:hyperlink r:id="rId6">
        <w:r w:rsidR="00694A83">
          <w:rPr>
            <w:color w:val="1155CC"/>
            <w:u w:val="single"/>
          </w:rPr>
          <w:t>The</w:t>
        </w:r>
        <w:r>
          <w:rPr>
            <w:color w:val="1155CC"/>
            <w:u w:val="single"/>
          </w:rPr>
          <w:t xml:space="preserve"> University of Law (ULaw)</w:t>
        </w:r>
      </w:hyperlink>
      <w:r>
        <w:t xml:space="preserve"> Pläne angekündigt, im September alle ULaw-Standorte in Großbritannien für Personal und Studierende wieder zu öffnen.</w:t>
      </w:r>
    </w:p>
    <w:p w14:paraId="11A7E4A6" w14:textId="77777777" w:rsidR="00C45594" w:rsidRDefault="00C45594">
      <w:pPr>
        <w:jc w:val="both"/>
      </w:pPr>
    </w:p>
    <w:p w14:paraId="70FB6E26" w14:textId="7F8510AA" w:rsidR="00C45594" w:rsidRDefault="0036080F">
      <w:pPr>
        <w:jc w:val="both"/>
      </w:pPr>
      <w:r>
        <w:t>Im Rahmen der ULaw</w:t>
      </w:r>
      <w:r w:rsidR="00C62384">
        <w:t xml:space="preserve">-Pläne </w:t>
      </w:r>
      <w:r>
        <w:t xml:space="preserve">zur Wiederöffnung </w:t>
      </w:r>
      <w:r w:rsidR="00C62384">
        <w:t xml:space="preserve">wird </w:t>
      </w:r>
      <w:r>
        <w:t xml:space="preserve">eine Reihe von Maßnahmen eingeführt, </w:t>
      </w:r>
      <w:r w:rsidR="00C62384">
        <w:t xml:space="preserve">die </w:t>
      </w:r>
      <w:r>
        <w:t>die Sicherheit und das Wohlergehen von Beschäftigten und Studierenden gewährleisten</w:t>
      </w:r>
      <w:r w:rsidR="00C62384">
        <w:t xml:space="preserve"> sollen</w:t>
      </w:r>
      <w:r>
        <w:t xml:space="preserve">. </w:t>
      </w:r>
      <w:r w:rsidR="00C62384">
        <w:t>Hierzu gehören</w:t>
      </w:r>
      <w:r>
        <w:t xml:space="preserve"> Temperaturkontrollen am Eingang, Desinfektions</w:t>
      </w:r>
      <w:r w:rsidR="00C62384">
        <w:t>s</w:t>
      </w:r>
      <w:r>
        <w:t xml:space="preserve">tationen, Schutzwände aus Plexiglas, eine </w:t>
      </w:r>
      <w:r w:rsidR="00C62384">
        <w:t xml:space="preserve">gründlichere </w:t>
      </w:r>
      <w:r>
        <w:t xml:space="preserve">und häufigere Reinigung, </w:t>
      </w:r>
      <w:r w:rsidR="00C62384">
        <w:t xml:space="preserve">das </w:t>
      </w:r>
      <w:r>
        <w:t>Bereitstell</w:t>
      </w:r>
      <w:r w:rsidR="00C62384">
        <w:t>en</w:t>
      </w:r>
      <w:r>
        <w:t xml:space="preserve"> von antibakteriellen Feuchttücher</w:t>
      </w:r>
      <w:r w:rsidR="00694A83">
        <w:t>n</w:t>
      </w:r>
      <w:r>
        <w:t xml:space="preserve"> und Produkten an Berührungspunkten wie zum Beispiel Druckern sowie Einbahn</w:t>
      </w:r>
      <w:r w:rsidR="00C62384">
        <w:t>s</w:t>
      </w:r>
      <w:r>
        <w:t>ysteme</w:t>
      </w:r>
      <w:r w:rsidR="00C62384">
        <w:t xml:space="preserve"> mit klaren Markierungen auf dem Boden</w:t>
      </w:r>
      <w:r>
        <w:t xml:space="preserve"> zur Fußgängerführung und Kontaktvermeidung.</w:t>
      </w:r>
    </w:p>
    <w:p w14:paraId="78BD8A55" w14:textId="77777777" w:rsidR="00C45594" w:rsidRDefault="00C45594">
      <w:pPr>
        <w:jc w:val="both"/>
      </w:pPr>
    </w:p>
    <w:p w14:paraId="1A70D9B0" w14:textId="2EDD3488" w:rsidR="00C45594" w:rsidRDefault="0036080F">
      <w:pPr>
        <w:jc w:val="both"/>
      </w:pPr>
      <w:r>
        <w:t xml:space="preserve">Diese Maßnahmen sollen dazu beitragen, dass </w:t>
      </w:r>
      <w:r w:rsidR="008B1A88">
        <w:t>das gesamte Personal</w:t>
      </w:r>
      <w:r>
        <w:t xml:space="preserve"> und </w:t>
      </w:r>
      <w:r w:rsidR="008B1A88">
        <w:t xml:space="preserve">alle </w:t>
      </w:r>
      <w:r>
        <w:t>Studierenden vor dem Virus geschützt sind und sich an die Richtlinien der Regierung halten.</w:t>
      </w:r>
    </w:p>
    <w:p w14:paraId="765C03AF" w14:textId="77777777" w:rsidR="00C45594" w:rsidRDefault="00C45594">
      <w:pPr>
        <w:jc w:val="both"/>
        <w:rPr>
          <w:sz w:val="21"/>
          <w:szCs w:val="21"/>
        </w:rPr>
      </w:pPr>
    </w:p>
    <w:p w14:paraId="43064D1B" w14:textId="77777777" w:rsidR="00C45594" w:rsidRDefault="0036080F">
      <w:pPr>
        <w:jc w:val="center"/>
        <w:rPr>
          <w:sz w:val="21"/>
          <w:szCs w:val="21"/>
        </w:rPr>
      </w:pPr>
      <w:r>
        <w:rPr>
          <w:noProof/>
          <w:sz w:val="21"/>
          <w:lang w:eastAsia="de-DE"/>
        </w:rPr>
        <w:drawing>
          <wp:inline distT="114300" distB="114300" distL="114300" distR="114300" wp14:anchorId="60D945BC" wp14:editId="0A552992">
            <wp:extent cx="2854163" cy="402821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163" cy="4028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C8DA73" w14:textId="77777777" w:rsidR="00C45594" w:rsidRDefault="00C45594">
      <w:pPr>
        <w:jc w:val="both"/>
      </w:pPr>
    </w:p>
    <w:p w14:paraId="2B715F38" w14:textId="68506962" w:rsidR="00C45594" w:rsidRDefault="0036080F" w:rsidP="001D176C">
      <w:pPr>
        <w:jc w:val="both"/>
      </w:pPr>
      <w:r>
        <w:lastRenderedPageBreak/>
        <w:t xml:space="preserve">Um </w:t>
      </w:r>
      <w:r w:rsidR="00F1057B">
        <w:t>der Veru</w:t>
      </w:r>
      <w:r>
        <w:t>nsicher</w:t>
      </w:r>
      <w:r w:rsidR="00F1057B">
        <w:t>ung unter</w:t>
      </w:r>
      <w:r>
        <w:t xml:space="preserve"> angehende</w:t>
      </w:r>
      <w:r w:rsidR="00F1057B">
        <w:t>n</w:t>
      </w:r>
      <w:r>
        <w:t xml:space="preserve"> Studierende</w:t>
      </w:r>
      <w:r w:rsidR="00F1057B">
        <w:t>n</w:t>
      </w:r>
      <w:r>
        <w:t xml:space="preserve"> </w:t>
      </w:r>
      <w:r w:rsidR="00F1057B">
        <w:t>entgegen</w:t>
      </w:r>
      <w:r>
        <w:t>zu</w:t>
      </w:r>
      <w:r w:rsidR="00F1057B">
        <w:t>wirke</w:t>
      </w:r>
      <w:r>
        <w:t xml:space="preserve">n, bietet die Universität außerdem über ihre </w:t>
      </w:r>
      <w:hyperlink r:id="rId8" w:history="1">
        <w:r>
          <w:rPr>
            <w:rStyle w:val="Hyperlink"/>
          </w:rPr>
          <w:t>Studiengarantie</w:t>
        </w:r>
      </w:hyperlink>
      <w:r w:rsidR="00694A83" w:rsidRPr="00694A83">
        <w:rPr>
          <w:rStyle w:val="Hyperlink"/>
          <w:u w:val="none"/>
        </w:rPr>
        <w:t xml:space="preserve"> </w:t>
      </w:r>
      <w:r>
        <w:t xml:space="preserve">flexible Studienoptionen an, </w:t>
      </w:r>
      <w:r w:rsidR="00F1057B">
        <w:t xml:space="preserve">wie </w:t>
      </w:r>
      <w:r>
        <w:t>beispielsweise die Möglichkeit, die Vorlesungen an einem Campus zu beginnen und später zu einem anderen Campus zu wechseln, sowie Online- und Blended-Learning-Kurse (</w:t>
      </w:r>
      <w:r w:rsidR="00F1057B">
        <w:t xml:space="preserve">integriertes </w:t>
      </w:r>
      <w:r>
        <w:t xml:space="preserve">Lernen). Alle diese </w:t>
      </w:r>
      <w:r w:rsidR="00694A83">
        <w:t>Kursangebote</w:t>
      </w:r>
      <w:r>
        <w:t xml:space="preserve"> basieren auf de</w:t>
      </w:r>
      <w:r w:rsidR="00F1057B">
        <w:t>m</w:t>
      </w:r>
      <w:r>
        <w:t xml:space="preserve"> gleichen Fach</w:t>
      </w:r>
      <w:r w:rsidR="00F1057B">
        <w:t>wissen</w:t>
      </w:r>
      <w:r>
        <w:t>,</w:t>
      </w:r>
      <w:r w:rsidR="00F1057B">
        <w:t xml:space="preserve"> der gleichen</w:t>
      </w:r>
      <w:r>
        <w:t xml:space="preserve"> Lehrqualität und de</w:t>
      </w:r>
      <w:r w:rsidR="00694A83">
        <w:t>n</w:t>
      </w:r>
      <w:r>
        <w:t xml:space="preserve"> gleichen Material</w:t>
      </w:r>
      <w:r w:rsidR="00694A83">
        <w:t>ien</w:t>
      </w:r>
      <w:r>
        <w:t xml:space="preserve"> wie die </w:t>
      </w:r>
      <w:r w:rsidR="00F1057B">
        <w:t>Präsenzk</w:t>
      </w:r>
      <w:r>
        <w:t xml:space="preserve">urse auf dem Campus, </w:t>
      </w:r>
      <w:r w:rsidR="00F1057B">
        <w:t xml:space="preserve">nur können </w:t>
      </w:r>
      <w:r>
        <w:t xml:space="preserve">die Studierenden </w:t>
      </w:r>
      <w:r w:rsidR="00F1057B">
        <w:t>hier selbst entscheiden</w:t>
      </w:r>
      <w:r>
        <w:t xml:space="preserve">, wann und wo </w:t>
      </w:r>
      <w:r w:rsidR="00F1057B">
        <w:t>sie studieren möchten</w:t>
      </w:r>
      <w:r>
        <w:t>.</w:t>
      </w:r>
    </w:p>
    <w:p w14:paraId="3B548674" w14:textId="34B6EEC7" w:rsidR="00D239DC" w:rsidRDefault="00D239DC" w:rsidP="001D176C">
      <w:pPr>
        <w:jc w:val="both"/>
      </w:pPr>
    </w:p>
    <w:p w14:paraId="68F30B94" w14:textId="18AB1596" w:rsidR="00D239DC" w:rsidRDefault="00BC2FA7" w:rsidP="001D176C">
      <w:pPr>
        <w:jc w:val="both"/>
      </w:pPr>
      <w:r>
        <w:t xml:space="preserve">Sie können sich </w:t>
      </w:r>
      <w:hyperlink r:id="rId9" w:history="1">
        <w:r>
          <w:rPr>
            <w:rStyle w:val="Hyperlink"/>
          </w:rPr>
          <w:t>hier</w:t>
        </w:r>
      </w:hyperlink>
      <w:r>
        <w:rPr>
          <w:rStyle w:val="Hyperlink"/>
        </w:rPr>
        <w:t xml:space="preserve"> </w:t>
      </w:r>
      <w:r w:rsidR="00F1057B">
        <w:t xml:space="preserve">ein </w:t>
      </w:r>
      <w:r w:rsidR="00D239DC">
        <w:t>ULaw</w:t>
      </w:r>
      <w:r w:rsidR="00F1057B">
        <w:t>-</w:t>
      </w:r>
      <w:r w:rsidR="00D239DC">
        <w:t>Video</w:t>
      </w:r>
      <w:r>
        <w:t xml:space="preserve"> ansehen</w:t>
      </w:r>
      <w:r w:rsidR="00D239DC">
        <w:t>, in dem die Sicherheitsmaßnahmen und Studienoptionen für Studierende beschrieben werden..</w:t>
      </w:r>
    </w:p>
    <w:p w14:paraId="375EC155" w14:textId="77777777" w:rsidR="00C45594" w:rsidRDefault="0036080F">
      <w:pPr>
        <w:widowControl w:val="0"/>
        <w:spacing w:line="240" w:lineRule="auto"/>
        <w:jc w:val="both"/>
      </w:pPr>
      <w:r>
        <w:t xml:space="preserve"> </w:t>
      </w:r>
    </w:p>
    <w:p w14:paraId="492BB97D" w14:textId="324EC1E0" w:rsidR="00C45594" w:rsidRDefault="0036080F">
      <w:pPr>
        <w:widowControl w:val="0"/>
        <w:spacing w:line="240" w:lineRule="auto"/>
        <w:jc w:val="both"/>
      </w:pPr>
      <w:r>
        <w:t xml:space="preserve">Professorin Andrea Nollent, Vizekanzlerin und CEO </w:t>
      </w:r>
      <w:r w:rsidR="00694A83">
        <w:t>der</w:t>
      </w:r>
      <w:r>
        <w:t xml:space="preserve"> ULaw, kommentiert die Pläne</w:t>
      </w:r>
      <w:r w:rsidR="00F1057B">
        <w:t xml:space="preserve"> folgendermaßen</w:t>
      </w:r>
      <w:r>
        <w:t>: „Obwohl wir weiterhin unsicheren Zeiten entgegensehen, gehen wir davon aus, dass unser Campus im September wieder</w:t>
      </w:r>
      <w:r w:rsidR="00F1057B">
        <w:t xml:space="preserve"> ge</w:t>
      </w:r>
      <w:r>
        <w:t xml:space="preserve">öffnet </w:t>
      </w:r>
      <w:r w:rsidR="00F1057B">
        <w:t xml:space="preserve">sein </w:t>
      </w:r>
      <w:r>
        <w:t xml:space="preserve">wird. Wir werden alles in unserer Macht Stehende tun, die Gesundheit und das Wohlbefinden aller unserer </w:t>
      </w:r>
      <w:r w:rsidR="00404515">
        <w:t xml:space="preserve">Mitarbeiterinnen und </w:t>
      </w:r>
      <w:r>
        <w:t xml:space="preserve">Mitarbeiter </w:t>
      </w:r>
      <w:r w:rsidR="00404515">
        <w:t xml:space="preserve">sowie aller </w:t>
      </w:r>
      <w:r>
        <w:t xml:space="preserve">Studierenden </w:t>
      </w:r>
      <w:r w:rsidR="00404515">
        <w:t>sicher</w:t>
      </w:r>
      <w:r>
        <w:t>zu</w:t>
      </w:r>
      <w:r w:rsidR="00404515">
        <w:t>stell</w:t>
      </w:r>
      <w:r>
        <w:t>en, indem wir verschiedene Sicherheitsmaßnahmen auf dem Campus einführen.</w:t>
      </w:r>
    </w:p>
    <w:p w14:paraId="2D77C18F" w14:textId="77777777" w:rsidR="00C45594" w:rsidRDefault="00C45594">
      <w:pPr>
        <w:spacing w:line="240" w:lineRule="auto"/>
        <w:jc w:val="both"/>
      </w:pPr>
    </w:p>
    <w:p w14:paraId="664959EC" w14:textId="642AA41F" w:rsidR="00C45594" w:rsidRDefault="0036080F">
      <w:pPr>
        <w:spacing w:line="240" w:lineRule="auto"/>
        <w:jc w:val="both"/>
      </w:pPr>
      <w:r>
        <w:t xml:space="preserve">Es ist </w:t>
      </w:r>
      <w:r w:rsidR="00404515">
        <w:t xml:space="preserve">natürlich auch </w:t>
      </w:r>
      <w:r>
        <w:t xml:space="preserve">eine beunruhigende Zeit für </w:t>
      </w:r>
      <w:r w:rsidR="00BC2FA7">
        <w:t xml:space="preserve">all </w:t>
      </w:r>
      <w:r>
        <w:t>jene, die im September ihr Studium an einem unserer Standorte beginnen w</w:t>
      </w:r>
      <w:r w:rsidR="00404515">
        <w:t>oll</w:t>
      </w:r>
      <w:r>
        <w:t xml:space="preserve">en. Aus diesem Grund haben wir unsere Studiengarantie eingeführt, mit der wir den Studierenden versprechen, dass selbst wenn unser Campus nicht geöffnet </w:t>
      </w:r>
      <w:r w:rsidR="00404515">
        <w:t xml:space="preserve">sein </w:t>
      </w:r>
      <w:r>
        <w:t xml:space="preserve">kann oder wenn sie aus irgendwelchen Gründen nicht </w:t>
      </w:r>
      <w:r w:rsidR="00404515">
        <w:t>an</w:t>
      </w:r>
      <w:r>
        <w:t xml:space="preserve">reisen können, </w:t>
      </w:r>
      <w:r w:rsidR="00404515">
        <w:t xml:space="preserve">dies </w:t>
      </w:r>
      <w:r>
        <w:t>ihr Studium nicht beeinträchtig</w:t>
      </w:r>
      <w:r w:rsidR="00404515">
        <w:t>en</w:t>
      </w:r>
      <w:r>
        <w:t xml:space="preserve"> wird und sie ihr Universitätsleben wie geplant beginnen können.</w:t>
      </w:r>
    </w:p>
    <w:p w14:paraId="270B9DCF" w14:textId="77777777" w:rsidR="00C45594" w:rsidRDefault="00C45594">
      <w:pPr>
        <w:spacing w:line="240" w:lineRule="auto"/>
        <w:jc w:val="both"/>
      </w:pPr>
    </w:p>
    <w:p w14:paraId="03B1D755" w14:textId="3A7998FC" w:rsidR="00C45594" w:rsidRDefault="0036080F">
      <w:pPr>
        <w:spacing w:line="240" w:lineRule="auto"/>
        <w:jc w:val="both"/>
      </w:pPr>
      <w:r>
        <w:t xml:space="preserve">Wir wissen, dass es den Studierenden wichtig ist, ihre Karriereambitionen ohne Unterbrechung weiterzuverfolgen, und </w:t>
      </w:r>
      <w:r w:rsidR="00404515">
        <w:t>die</w:t>
      </w:r>
      <w:r>
        <w:t xml:space="preserve"> ULaw bleib</w:t>
      </w:r>
      <w:r w:rsidR="00404515">
        <w:t>t ihr</w:t>
      </w:r>
      <w:r>
        <w:t>er Verpflichtung treu, sie dabei zu unterstützen</w:t>
      </w:r>
      <w:r w:rsidR="00694A83">
        <w:t>.</w:t>
      </w:r>
      <w:r w:rsidR="00404515">
        <w:t>“</w:t>
      </w:r>
    </w:p>
    <w:p w14:paraId="589E9625" w14:textId="77777777" w:rsidR="00C45594" w:rsidRDefault="00C45594">
      <w:pPr>
        <w:spacing w:line="240" w:lineRule="auto"/>
        <w:jc w:val="both"/>
      </w:pPr>
    </w:p>
    <w:p w14:paraId="56F2E11B" w14:textId="77777777" w:rsidR="00C45594" w:rsidRDefault="0036080F">
      <w:pPr>
        <w:widowControl w:val="0"/>
        <w:spacing w:line="240" w:lineRule="auto"/>
        <w:jc w:val="both"/>
      </w:pPr>
      <w:r>
        <w:t xml:space="preserve">Weitere Informationen über die Pläne der ULaw für September finden Sie unter: </w:t>
      </w:r>
      <w:hyperlink r:id="rId10">
        <w:r>
          <w:rPr>
            <w:color w:val="1155CC"/>
            <w:u w:val="single"/>
          </w:rPr>
          <w:t>https://www.law.ac.uk/study/guarantee/</w:t>
        </w:r>
      </w:hyperlink>
    </w:p>
    <w:p w14:paraId="3EB2B694" w14:textId="77777777" w:rsidR="00C45594" w:rsidRDefault="00C45594">
      <w:pPr>
        <w:widowControl w:val="0"/>
        <w:spacing w:line="360" w:lineRule="auto"/>
        <w:jc w:val="both"/>
      </w:pPr>
    </w:p>
    <w:p w14:paraId="69132993" w14:textId="77777777" w:rsidR="00C45594" w:rsidRDefault="00C45594">
      <w:pPr>
        <w:widowControl w:val="0"/>
        <w:spacing w:line="360" w:lineRule="auto"/>
        <w:jc w:val="both"/>
      </w:pPr>
    </w:p>
    <w:p w14:paraId="1F2ED621" w14:textId="77777777" w:rsidR="00C45594" w:rsidRDefault="0036080F">
      <w:pPr>
        <w:shd w:val="clear" w:color="auto" w:fill="FFFFFF"/>
        <w:spacing w:after="240" w:line="360" w:lineRule="auto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</w:rPr>
        <w:t>ENDE</w:t>
      </w:r>
    </w:p>
    <w:p w14:paraId="62D96EC7" w14:textId="77777777" w:rsidR="00C45594" w:rsidRDefault="0036080F">
      <w:pPr>
        <w:shd w:val="clear" w:color="auto" w:fill="FFFFFF"/>
        <w:spacing w:before="240" w:after="240" w:line="360" w:lineRule="auto"/>
        <w:jc w:val="both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</w:rPr>
        <w:t>Über The University of Law (ULaw)</w:t>
      </w:r>
    </w:p>
    <w:p w14:paraId="4A7BAA60" w14:textId="4A930192" w:rsidR="00C45594" w:rsidRDefault="00904978">
      <w:pPr>
        <w:shd w:val="clear" w:color="auto" w:fill="FFFFFF"/>
        <w:spacing w:before="240" w:after="240" w:line="360" w:lineRule="auto"/>
        <w:jc w:val="both"/>
        <w:rPr>
          <w:color w:val="222222"/>
          <w:sz w:val="20"/>
          <w:szCs w:val="20"/>
        </w:rPr>
      </w:pPr>
      <w:hyperlink r:id="rId11">
        <w:r w:rsidR="00D01B63">
          <w:rPr>
            <w:color w:val="1155CC"/>
            <w:sz w:val="20"/>
            <w:u w:val="single"/>
          </w:rPr>
          <w:t>The University of Law</w:t>
        </w:r>
      </w:hyperlink>
      <w:r w:rsidR="00D01B63">
        <w:rPr>
          <w:color w:val="222222"/>
          <w:sz w:val="20"/>
        </w:rPr>
        <w:t xml:space="preserve"> ist mit Standorten in London, Birmingham, Bristol, Chester, Guildford, Leeds, Manchester und Nottingham sowie internationalen Standorten in Berlin und Hongkong eine der traditionsreichsten</w:t>
      </w:r>
      <w:r w:rsidR="00404515">
        <w:rPr>
          <w:color w:val="222222"/>
          <w:sz w:val="20"/>
        </w:rPr>
        <w:t>,</w:t>
      </w:r>
      <w:r w:rsidR="00D01B63">
        <w:rPr>
          <w:color w:val="222222"/>
          <w:sz w:val="20"/>
        </w:rPr>
        <w:t xml:space="preserve"> auf die </w:t>
      </w:r>
      <w:r w:rsidR="00614893">
        <w:rPr>
          <w:color w:val="222222"/>
          <w:sz w:val="20"/>
        </w:rPr>
        <w:t>Aus- und Weiterbildung von Juristen</w:t>
      </w:r>
      <w:r w:rsidR="00D01B63">
        <w:rPr>
          <w:color w:val="222222"/>
          <w:sz w:val="20"/>
        </w:rPr>
        <w:t xml:space="preserve"> spezialisierten </w:t>
      </w:r>
      <w:r w:rsidR="00404515">
        <w:rPr>
          <w:color w:val="222222"/>
          <w:sz w:val="20"/>
        </w:rPr>
        <w:t xml:space="preserve">Bildungseinrichtungen </w:t>
      </w:r>
      <w:r w:rsidR="00D01B63">
        <w:rPr>
          <w:color w:val="222222"/>
          <w:sz w:val="20"/>
        </w:rPr>
        <w:t xml:space="preserve">in Großbritannien. Sie können unsere Studiengänge </w:t>
      </w:r>
      <w:r w:rsidR="00DB3E4E">
        <w:rPr>
          <w:color w:val="222222"/>
          <w:sz w:val="20"/>
        </w:rPr>
        <w:t xml:space="preserve">im Bereich der </w:t>
      </w:r>
      <w:r w:rsidR="00D01B63">
        <w:rPr>
          <w:color w:val="222222"/>
          <w:sz w:val="20"/>
        </w:rPr>
        <w:t>Rechtswissenschaft</w:t>
      </w:r>
      <w:r w:rsidR="00DB3E4E">
        <w:rPr>
          <w:color w:val="222222"/>
          <w:sz w:val="20"/>
        </w:rPr>
        <w:t>en</w:t>
      </w:r>
      <w:r w:rsidR="00D01B63">
        <w:rPr>
          <w:color w:val="222222"/>
          <w:sz w:val="20"/>
        </w:rPr>
        <w:t xml:space="preserve"> auch an der University of East Anglia, der University of Exeter, der University of Reading, der University of Liverpool und der University of Chester Law School belegen. Unser </w:t>
      </w:r>
      <w:r w:rsidR="00DB3E4E">
        <w:rPr>
          <w:color w:val="222222"/>
          <w:sz w:val="20"/>
        </w:rPr>
        <w:t xml:space="preserve">Lehrangebot steht </w:t>
      </w:r>
      <w:r w:rsidR="00D01B63">
        <w:rPr>
          <w:color w:val="222222"/>
          <w:sz w:val="20"/>
        </w:rPr>
        <w:t xml:space="preserve">außerdem online </w:t>
      </w:r>
      <w:r w:rsidR="00DB3E4E">
        <w:rPr>
          <w:color w:val="222222"/>
          <w:sz w:val="20"/>
        </w:rPr>
        <w:t xml:space="preserve">im Rahmen von </w:t>
      </w:r>
      <w:r w:rsidR="00D01B63">
        <w:rPr>
          <w:color w:val="222222"/>
          <w:sz w:val="20"/>
        </w:rPr>
        <w:t>Vollzeit- und Teilzeitstudiengänge</w:t>
      </w:r>
      <w:r w:rsidR="00DB3E4E">
        <w:rPr>
          <w:color w:val="222222"/>
          <w:sz w:val="20"/>
        </w:rPr>
        <w:t>n</w:t>
      </w:r>
      <w:r w:rsidR="00D01B63">
        <w:rPr>
          <w:color w:val="222222"/>
          <w:sz w:val="20"/>
        </w:rPr>
        <w:t xml:space="preserve"> </w:t>
      </w:r>
      <w:r w:rsidR="00DB3E4E">
        <w:rPr>
          <w:color w:val="222222"/>
          <w:sz w:val="20"/>
        </w:rPr>
        <w:t>zur V</w:t>
      </w:r>
      <w:r w:rsidR="00D01B63">
        <w:rPr>
          <w:color w:val="222222"/>
          <w:sz w:val="20"/>
        </w:rPr>
        <w:t>erfüg</w:t>
      </w:r>
      <w:r w:rsidR="00DB3E4E">
        <w:rPr>
          <w:color w:val="222222"/>
          <w:sz w:val="20"/>
        </w:rPr>
        <w:t>ung</w:t>
      </w:r>
      <w:r w:rsidR="00D01B63">
        <w:rPr>
          <w:color w:val="222222"/>
          <w:sz w:val="20"/>
        </w:rPr>
        <w:t>.</w:t>
      </w:r>
    </w:p>
    <w:p w14:paraId="0DEEC631" w14:textId="77777777" w:rsidR="00C45594" w:rsidRDefault="0036080F">
      <w:bookmarkStart w:id="3" w:name="_3znysh7"/>
      <w:bookmarkStart w:id="4" w:name="_rtfuuoisco57"/>
      <w:bookmarkEnd w:id="3"/>
      <w:bookmarkEnd w:id="4"/>
      <w:r>
        <w:rPr>
          <w:noProof/>
          <w:lang w:eastAsia="de-DE"/>
        </w:rPr>
        <w:lastRenderedPageBreak/>
        <w:drawing>
          <wp:inline distT="114300" distB="114300" distL="114300" distR="114300" wp14:anchorId="00288B94" wp14:editId="2E7F4F75">
            <wp:extent cx="5731200" cy="81026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0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360E8F" w14:textId="77777777" w:rsidR="00C45594" w:rsidRDefault="00C45594"/>
    <w:sectPr w:rsidR="00C45594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667DF" w14:textId="77777777" w:rsidR="00904978" w:rsidRDefault="00904978">
      <w:pPr>
        <w:spacing w:line="240" w:lineRule="auto"/>
      </w:pPr>
      <w:r>
        <w:separator/>
      </w:r>
    </w:p>
  </w:endnote>
  <w:endnote w:type="continuationSeparator" w:id="0">
    <w:p w14:paraId="0B3A2490" w14:textId="77777777" w:rsidR="00904978" w:rsidRDefault="00904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E66E3" w14:textId="77777777" w:rsidR="00904978" w:rsidRDefault="00904978">
      <w:pPr>
        <w:spacing w:line="240" w:lineRule="auto"/>
      </w:pPr>
      <w:r>
        <w:separator/>
      </w:r>
    </w:p>
  </w:footnote>
  <w:footnote w:type="continuationSeparator" w:id="0">
    <w:p w14:paraId="1A47D338" w14:textId="77777777" w:rsidR="00904978" w:rsidRDefault="00904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E9B2" w14:textId="77777777" w:rsidR="00BC2FA7" w:rsidRDefault="00BC2FA7">
    <w:pPr>
      <w:jc w:val="center"/>
    </w:pPr>
    <w:r>
      <w:rPr>
        <w:noProof/>
        <w:lang w:eastAsia="de-DE"/>
      </w:rPr>
      <w:drawing>
        <wp:inline distT="114300" distB="114300" distL="114300" distR="114300" wp14:anchorId="320CA56E" wp14:editId="2A334334">
          <wp:extent cx="1381125" cy="106304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-39170" b="-39170"/>
                  <a:stretch>
                    <a:fillRect/>
                  </a:stretch>
                </pic:blipFill>
                <pic:spPr>
                  <a:xfrm>
                    <a:off x="0" y="0"/>
                    <a:ext cx="1381125" cy="1063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94"/>
    <w:rsid w:val="001D176C"/>
    <w:rsid w:val="0036080F"/>
    <w:rsid w:val="00404515"/>
    <w:rsid w:val="004C6149"/>
    <w:rsid w:val="00533CD3"/>
    <w:rsid w:val="00575CC6"/>
    <w:rsid w:val="00614893"/>
    <w:rsid w:val="00694A83"/>
    <w:rsid w:val="0085064B"/>
    <w:rsid w:val="00874C85"/>
    <w:rsid w:val="008B1A88"/>
    <w:rsid w:val="00904978"/>
    <w:rsid w:val="00A95C39"/>
    <w:rsid w:val="00B114A3"/>
    <w:rsid w:val="00BC2FA7"/>
    <w:rsid w:val="00C45594"/>
    <w:rsid w:val="00C62384"/>
    <w:rsid w:val="00D01B63"/>
    <w:rsid w:val="00D239DC"/>
    <w:rsid w:val="00DB3E4E"/>
    <w:rsid w:val="00E55DFB"/>
    <w:rsid w:val="00F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BA213"/>
  <w15:docId w15:val="{AB4058D5-ECB2-4C17-97BC-C5656DA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-D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D17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ac.uk/study/guarante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.ac.uk/" TargetMode="External"/><Relationship Id="rId11" Type="http://schemas.openxmlformats.org/officeDocument/2006/relationships/hyperlink" Target="https://www.law.ac.uk/abou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aw.ac.uk/study/guarante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w43OXqLp0Oc&amp;feature=youtu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Law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Lysette Gauna</dc:creator>
  <cp:lastModifiedBy>Nicola Carmyllie</cp:lastModifiedBy>
  <cp:revision>3</cp:revision>
  <dcterms:created xsi:type="dcterms:W3CDTF">2020-07-23T13:27:00Z</dcterms:created>
  <dcterms:modified xsi:type="dcterms:W3CDTF">2020-07-23T13:27:00Z</dcterms:modified>
</cp:coreProperties>
</file>