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ind w:left="-850.3937007874016" w:right="-891.2598425196836" w:firstLine="0"/>
        <w:rPr>
          <w:b w:val="1"/>
          <w:bCs w:val="1"/>
          <w:color w:val="222222"/>
          <w:sz w:val="22"/>
          <w:szCs w:val="22"/>
        </w:rPr>
      </w:pPr>
      <w:bookmarkStart w:colFirst="0" w:colLast="0" w:name="_v74d67g6ty98" w:id="0"/>
      <w:bookmarkEnd w:id="0"/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Press Release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ind w:left="-850.3937007874016" w:right="-891.2598425196836" w:firstLine="0"/>
        <w:jc w:val="center"/>
        <w:rPr>
          <w:b w:val="1"/>
          <w:bCs w:val="1"/>
          <w:color w:val="222222"/>
          <w:sz w:val="22"/>
          <w:szCs w:val="22"/>
        </w:rPr>
      </w:pPr>
      <w:bookmarkStart w:colFirst="0" w:colLast="0" w:name="_rj4v04r3gqhj" w:id="1"/>
      <w:bookmarkEnd w:id="1"/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ANPA.US Closes Acquisition of TikTok Icon Khaby Lame’s Core Company</w:t>
      </w:r>
    </w:p>
    <w:p w:rsidR="00000000" w:rsidDel="00000000" w:rsidP="00000000" w:rsidRDefault="00000000" w:rsidRPr="00000000" w14:paraId="00000003">
      <w:pPr>
        <w:spacing w:after="240" w:before="240" w:lineRule="auto"/>
        <w:ind w:left="-850.3937007874016" w:right="-891.2598425196836" w:firstLine="0"/>
        <w:jc w:val="center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sz w:val="20"/>
          <w:szCs w:val="20"/>
          <w:rtl w:val="0"/>
        </w:rPr>
        <w:t xml:space="preserve">Exclusive Global Full-Chain Operations Secured—Turning Influence into a Capital-Grade Asset</w:t>
      </w:r>
      <w:r w:rsidDel="00000000" w:rsidR="00000000" w:rsidRPr="00000000">
        <w:rPr>
          <w:b w:val="1"/>
          <w:bCs w:val="1"/>
          <w:color w:val="222222"/>
          <w:rtl w:val="0"/>
        </w:rPr>
        <w:br w:type="textWrapping"/>
        <w:t xml:space="preserve">With 360 Million Followers, Annual Live-Commerce Sales Could Reach $4 Billion</w:t>
      </w:r>
    </w:p>
    <w:p w:rsidR="00000000" w:rsidDel="00000000" w:rsidP="00000000" w:rsidRDefault="00000000" w:rsidRPr="00000000" w14:paraId="00000004">
      <w:pPr>
        <w:spacing w:after="240" w:before="240" w:lineRule="auto"/>
        <w:ind w:left="-850.3937007874016" w:right="-891.2598425196836" w:firstLine="0"/>
        <w:jc w:val="both"/>
        <w:rPr>
          <w:i w:val="1"/>
          <w:i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br w:type="textWrapping"/>
        <w:t xml:space="preserve">HONG KONG — Jan. 11, 2026</w:t>
      </w:r>
      <w:r w:rsidDel="00000000" w:rsidR="00000000" w:rsidRPr="00000000">
        <w:rPr>
          <w:color w:val="222222"/>
          <w:rtl w:val="0"/>
        </w:rPr>
        <w:t xml:space="preserve"> — Khaby Lame, widely regarded as the world’s defining TikTok creator, built his name on a universal language: silence. No captions needed, no cultural footnotes required—just clarity, humor, and that unmistakable gesture that says 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this is the simple way.</w:t>
      </w:r>
    </w:p>
    <w:p w:rsidR="00000000" w:rsidDel="00000000" w:rsidP="00000000" w:rsidRDefault="00000000" w:rsidRPr="00000000" w14:paraId="00000005">
      <w:pPr>
        <w:spacing w:after="240" w:before="24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Now, that global influence is being elevated into something more permanent. </w:t>
      </w:r>
      <w:r w:rsidDel="00000000" w:rsidR="00000000" w:rsidRPr="00000000">
        <w:rPr>
          <w:b w:val="1"/>
          <w:bCs w:val="1"/>
          <w:i w:val="1"/>
          <w:iCs w:val="1"/>
          <w:color w:val="222222"/>
          <w:rtl w:val="0"/>
        </w:rPr>
        <w:t xml:space="preserve">Rich Sparkle Holdings (ANPA.US)</w:t>
      </w:r>
      <w:r w:rsidDel="00000000" w:rsidR="00000000" w:rsidRPr="00000000">
        <w:rPr>
          <w:color w:val="222222"/>
          <w:rtl w:val="0"/>
        </w:rPr>
        <w:t xml:space="preserve">, a U.S.-listed company, announced today that it has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completed the acquisition of Step Distinctive Limited</w:t>
      </w:r>
      <w:r w:rsidDel="00000000" w:rsidR="00000000" w:rsidRPr="00000000">
        <w:rPr>
          <w:color w:val="222222"/>
          <w:rtl w:val="0"/>
        </w:rPr>
        <w:t xml:space="preserve">, a core company associated with Khaby Lame. The move signals a shift from one-off brand deals to a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structured, exclusive, full-chain, platform-style commercialization system</w:t>
      </w:r>
      <w:r w:rsidDel="00000000" w:rsidR="00000000" w:rsidRPr="00000000">
        <w:rPr>
          <w:color w:val="222222"/>
          <w:rtl w:val="0"/>
        </w:rPr>
        <w:t xml:space="preserve">—designed not merely to monetize attention, but to industrialize it.</w:t>
        <w:br w:type="textWrapping"/>
        <w:br w:type="textWrapping"/>
      </w:r>
      <w:r w:rsidDel="00000000" w:rsidR="00000000" w:rsidRPr="00000000">
        <w:rPr>
          <w:color w:val="222222"/>
        </w:rPr>
        <w:drawing>
          <wp:inline distB="114300" distT="114300" distL="114300" distR="114300">
            <wp:extent cx="4157663" cy="244368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57663" cy="24436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222222"/>
          <w:rtl w:val="0"/>
        </w:rPr>
        <w:br w:type="textWrapping"/>
        <w:t xml:space="preserve">Photo: </w:t>
      </w:r>
      <w:r w:rsidDel="00000000" w:rsidR="00000000" w:rsidRPr="00000000">
        <w:rPr>
          <w:rtl w:val="0"/>
        </w:rPr>
        <w:t xml:space="preserve">U.S.-listed Rich Sparkle Holdings (</w:t>
      </w:r>
      <w:r w:rsidDel="00000000" w:rsidR="00000000" w:rsidRPr="00000000">
        <w:rPr>
          <w:b w:val="1"/>
          <w:bCs w:val="1"/>
          <w:rtl w:val="0"/>
        </w:rPr>
        <w:t xml:space="preserve">ANPA.US</w:t>
      </w:r>
      <w:r w:rsidDel="00000000" w:rsidR="00000000" w:rsidRPr="00000000">
        <w:rPr>
          <w:rtl w:val="0"/>
        </w:rPr>
        <w:t xml:space="preserve">) disclosed its acquisition involving </w:t>
      </w:r>
      <w:r w:rsidDel="00000000" w:rsidR="00000000" w:rsidRPr="00000000">
        <w:rPr>
          <w:b w:val="1"/>
          <w:bCs w:val="1"/>
          <w:rtl w:val="0"/>
        </w:rPr>
        <w:t xml:space="preserve">Khaby Lame</w:t>
      </w:r>
      <w:r w:rsidDel="00000000" w:rsidR="00000000" w:rsidRPr="00000000">
        <w:rPr>
          <w:rtl w:val="0"/>
        </w:rPr>
        <w:t xml:space="preserve"> and a related strategic partnership. </w:t>
      </w:r>
      <w:r w:rsidDel="00000000" w:rsidR="00000000" w:rsidRPr="00000000">
        <w:rPr>
          <w:color w:val="222222"/>
          <w:rtl w:val="0"/>
        </w:rPr>
        <w:t xml:space="preserve">Khaby Lame, the world’s defining TikTok creator with </w:t>
      </w:r>
      <w:r w:rsidDel="00000000" w:rsidR="00000000" w:rsidRPr="00000000">
        <w:rPr>
          <w:color w:val="222222"/>
          <w:rtl w:val="0"/>
        </w:rPr>
        <w:t xml:space="preserve">360 million followers.</w:t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https://drive.google.com/file/d/1M_pSYom3ms0zdHtKGWT05x0hFvwZnR0b/view?usp=sharing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ind w:left="-850.3937007874016" w:right="-891.2598425196836" w:firstLine="0"/>
        <w:rPr>
          <w:b w:val="1"/>
          <w:bCs w:val="1"/>
          <w:color w:val="222222"/>
          <w:sz w:val="22"/>
          <w:szCs w:val="22"/>
        </w:rPr>
      </w:pPr>
      <w:bookmarkStart w:colFirst="0" w:colLast="0" w:name="_e0dk93vzdu01" w:id="2"/>
      <w:bookmarkEnd w:id="2"/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A Once-in-a-Generation Traffic Gateway</w:t>
        <w:br w:type="textWrapping"/>
        <w:t xml:space="preserve">360 million followers, one borderless content engine</w:t>
      </w:r>
    </w:p>
    <w:p w:rsidR="00000000" w:rsidDel="00000000" w:rsidP="00000000" w:rsidRDefault="00000000" w:rsidRPr="00000000" w14:paraId="00000007">
      <w:pPr>
        <w:spacing w:after="240" w:before="24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Khaby Lame’s rise is unusual not because it’s fast, but because it travels. His content—minimal, wordless, instantly readable—does what most internet fame cannot: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scale across languages and cultures without translation</w:t>
      </w:r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ind w:left="-850.3937007874016" w:right="-891.2598425196836" w:firstLine="0"/>
        <w:jc w:val="both"/>
        <w:rPr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color w:val="222222"/>
          <w:rtl w:val="0"/>
        </w:rPr>
        <w:t xml:space="preserve">Today, his global following totals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360 million</w:t>
      </w:r>
      <w:r w:rsidDel="00000000" w:rsidR="00000000" w:rsidRPr="00000000">
        <w:rPr>
          <w:color w:val="222222"/>
          <w:rtl w:val="0"/>
        </w:rPr>
        <w:t xml:space="preserve"> across platforms, making him one of the rare creators who can drive attention in multiple major regions at once. Industry observers describe him as a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“global-tier traffic entrance”</w:t>
      </w:r>
      <w:r w:rsidDel="00000000" w:rsidR="00000000" w:rsidRPr="00000000">
        <w:rPr>
          <w:color w:val="222222"/>
          <w:rtl w:val="0"/>
        </w:rPr>
        <w:t xml:space="preserve">—a scarce asset in the age of content commerce.</w:t>
        <w:br w:type="textWrapping"/>
        <w:br w:type="textWrapping"/>
      </w:r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Not Just a Partner—A Controlling Shareholder</w:t>
        <w:br w:type="textWrapping"/>
        <w:t xml:space="preserve">When traffic aligns with ownership, the incentives lock in</w:t>
      </w:r>
    </w:p>
    <w:p w:rsidR="00000000" w:rsidDel="00000000" w:rsidP="00000000" w:rsidRDefault="00000000" w:rsidRPr="00000000" w14:paraId="00000009">
      <w:pPr>
        <w:spacing w:after="240" w:before="24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What’s drawing heightened market attention isn’t only the acquisition—it’s Khaby Lame’s positioning inside the company structure. According to disclosed information,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Khaby Lame will become a controlling shareholder</w:t>
      </w:r>
      <w:r w:rsidDel="00000000" w:rsidR="00000000" w:rsidRPr="00000000">
        <w:rPr>
          <w:color w:val="222222"/>
          <w:rtl w:val="0"/>
        </w:rPr>
        <w:t xml:space="preserve">, upgrading his value from “influence” to a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core equity-level asset</w:t>
      </w:r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Analysts see this as a powerful alignment mechanism: short-term monetization and long-term brand building begin to move on the same curve—reducing volatility, increasing commitment, and expanding strategic imagination.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ind w:left="-850.3937007874016" w:right="-891.2598425196836" w:firstLine="0"/>
        <w:rPr>
          <w:b w:val="1"/>
          <w:bCs w:val="1"/>
          <w:color w:val="222222"/>
          <w:sz w:val="22"/>
          <w:szCs w:val="22"/>
        </w:rPr>
      </w:pPr>
      <w:bookmarkStart w:colFirst="0" w:colLast="0" w:name="_a2vdtiyc4jey" w:id="3"/>
      <w:bookmarkEnd w:id="3"/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From “Viral Moments” to “System Conversion”</w:t>
        <w:br w:type="textWrapping"/>
        <w:t xml:space="preserve">Why the $4B annual sales outlook is a model, not a slogan</w:t>
      </w:r>
    </w:p>
    <w:p w:rsidR="00000000" w:rsidDel="00000000" w:rsidP="00000000" w:rsidRDefault="00000000" w:rsidRPr="00000000" w14:paraId="0000000C">
      <w:pPr>
        <w:spacing w:after="240" w:before="24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The cooperation’s headline expectation is bold: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Khaby Lame’s fan-based commercialization could generate more than $4 billion in annual sales</w:t>
      </w:r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40" w:before="24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Market participants note that this forecast is not simply a function of follower count. It rests on a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closed-loop conversion architecture</w:t>
      </w:r>
      <w:r w:rsidDel="00000000" w:rsidR="00000000" w:rsidRPr="00000000">
        <w:rPr>
          <w:color w:val="222222"/>
          <w:rtl w:val="0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Top-tier global exposure</w:t>
      </w:r>
      <w:r w:rsidDel="00000000" w:rsidR="00000000" w:rsidRPr="00000000">
        <w:rPr>
          <w:color w:val="222222"/>
          <w:rtl w:val="0"/>
        </w:rPr>
        <w:t xml:space="preserve"> that creates massive conversion potential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Exclusive full-chain execution</w:t>
      </w:r>
      <w:r w:rsidDel="00000000" w:rsidR="00000000" w:rsidRPr="00000000">
        <w:rPr>
          <w:color w:val="222222"/>
          <w:rtl w:val="0"/>
        </w:rPr>
        <w:t xml:space="preserve">, spanning content planning, paid growth, storefront operations, product selection and pricing, cross-border supply chain, fulfillment, and after-sales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AI Digital Twin integration</w:t>
      </w:r>
      <w:r w:rsidDel="00000000" w:rsidR="00000000" w:rsidRPr="00000000">
        <w:rPr>
          <w:color w:val="222222"/>
          <w:rtl w:val="0"/>
        </w:rPr>
        <w:t xml:space="preserve">, enabling content output to scale beyond human scheduling and time zones</w:t>
      </w:r>
    </w:p>
    <w:p w:rsidR="00000000" w:rsidDel="00000000" w:rsidP="00000000" w:rsidRDefault="00000000" w:rsidRPr="00000000" w14:paraId="00000011">
      <w:pPr>
        <w:spacing w:after="240" w:before="24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In other words, the $4 billion figure is framed as the output of a four-part engine—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traffic + operations + fulfillment + technology</w:t>
      </w:r>
      <w:r w:rsidDel="00000000" w:rsidR="00000000" w:rsidRPr="00000000">
        <w:rPr>
          <w:color w:val="222222"/>
          <w:rtl w:val="0"/>
        </w:rPr>
        <w:t xml:space="preserve">—rather than a single breakout campaign.</w:t>
        <w:br w:type="textWrapping"/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ind w:left="-850.3937007874016" w:right="-891.2598425196836" w:firstLine="0"/>
        <w:rPr>
          <w:b w:val="1"/>
          <w:bCs w:val="1"/>
          <w:color w:val="222222"/>
          <w:sz w:val="22"/>
          <w:szCs w:val="22"/>
        </w:rPr>
      </w:pPr>
      <w:bookmarkStart w:colFirst="0" w:colLast="0" w:name="_vxdtqtdq54rw" w:id="4"/>
      <w:bookmarkEnd w:id="4"/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Exclusive Full-Chain Control</w:t>
        <w:br w:type="textWrapping"/>
        <w:t xml:space="preserve">Platform-style operations, not traditional MCN collaboration</w:t>
      </w:r>
    </w:p>
    <w:p w:rsidR="00000000" w:rsidDel="00000000" w:rsidP="00000000" w:rsidRDefault="00000000" w:rsidRPr="00000000" w14:paraId="00000013">
      <w:pPr>
        <w:spacing w:after="240" w:before="24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Under the agreement, Khaby Lame’s global commercialization will be executed through a single operating system. During the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36-month cooperation period</w:t>
      </w:r>
      <w:r w:rsidDel="00000000" w:rsidR="00000000" w:rsidRPr="00000000">
        <w:rPr>
          <w:color w:val="222222"/>
          <w:rtl w:val="0"/>
        </w:rPr>
        <w:t xml:space="preserve">,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Anhui Xiaoheiyang Network Technology Co., Ltd.</w:t>
      </w:r>
      <w:r w:rsidDel="00000000" w:rsidR="00000000" w:rsidRPr="00000000">
        <w:rPr>
          <w:color w:val="222222"/>
          <w:rtl w:val="0"/>
        </w:rPr>
        <w:t xml:space="preserve"> (a China-based livestream and content-commerce operator) will hold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exclusive global full-chain operating rights</w:t>
      </w:r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240" w:before="24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The scope spans: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Livestream and short-video commerce planning and programming cadence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End-to-end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TikTok Shop</w:t>
      </w:r>
      <w:r w:rsidDel="00000000" w:rsidR="00000000" w:rsidRPr="00000000">
        <w:rPr>
          <w:color w:val="222222"/>
          <w:rtl w:val="0"/>
        </w:rPr>
        <w:t xml:space="preserve"> operations and conversion optimization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Cross-border supply chain coordination, QC, fulfillment delivery, and after-sales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Brand endorsements, ad productions, and visual content coordination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Commercial development of an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AI Digital Twin</w:t>
      </w:r>
      <w:r w:rsidDel="00000000" w:rsidR="00000000" w:rsidRPr="00000000">
        <w:rPr>
          <w:color w:val="222222"/>
          <w:rtl w:val="0"/>
        </w:rPr>
        <w:t xml:space="preserve"> (Digital Twin)</w:t>
      </w:r>
    </w:p>
    <w:p w:rsidR="00000000" w:rsidDel="00000000" w:rsidP="00000000" w:rsidRDefault="00000000" w:rsidRPr="00000000" w14:paraId="0000001A">
      <w:pPr>
        <w:spacing w:after="240" w:before="24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Industry sources suggest this structure resembles a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platform battle plan</w:t>
      </w:r>
      <w:r w:rsidDel="00000000" w:rsidR="00000000" w:rsidRPr="00000000">
        <w:rPr>
          <w:color w:val="222222"/>
          <w:rtl w:val="0"/>
        </w:rPr>
        <w:t xml:space="preserve"> more than an influencer network arrangement—built for standardization, replication, and scale across overseas markets.</w:t>
      </w:r>
    </w:p>
    <w:p w:rsidR="00000000" w:rsidDel="00000000" w:rsidP="00000000" w:rsidRDefault="00000000" w:rsidRPr="00000000" w14:paraId="0000001B">
      <w:pPr>
        <w:spacing w:after="240" w:before="24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ind w:left="-850.3937007874016" w:right="-891.2598425196836" w:firstLine="0"/>
        <w:jc w:val="both"/>
        <w:rPr>
          <w:b w:val="1"/>
          <w:bCs w:val="1"/>
          <w:color w:val="222222"/>
          <w:sz w:val="22"/>
          <w:szCs w:val="22"/>
        </w:rPr>
      </w:pPr>
      <w:bookmarkStart w:colFirst="0" w:colLast="0" w:name="_k4sv1h1oa1ar" w:id="5"/>
      <w:bookmarkEnd w:id="5"/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AI Digital Twin Authorized</w:t>
        <w:br w:type="textWrapping"/>
        <w:t xml:space="preserve">Commerce content becomes a replicable production force</w:t>
      </w:r>
    </w:p>
    <w:p w:rsidR="00000000" w:rsidDel="00000000" w:rsidP="00000000" w:rsidRDefault="00000000" w:rsidRPr="00000000" w14:paraId="0000001D">
      <w:pPr>
        <w:spacing w:after="240" w:before="24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The agreement discloses that Khaby Lame has authorized the use of his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Face ID, Voice ID, and behavioral models</w:t>
      </w:r>
      <w:r w:rsidDel="00000000" w:rsidR="00000000" w:rsidRPr="00000000">
        <w:rPr>
          <w:color w:val="222222"/>
          <w:rtl w:val="0"/>
        </w:rPr>
        <w:t xml:space="preserve"> for AI Digital Twin development. Within a compliant framework, this enables multilingual, multi-version content production and opens the door to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cross-time-zone, long-duration virtual livestream commerce</w:t>
      </w:r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240" w:before="24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Investors are watching two incremental upsides: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24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Higher content capacity ceiling</w:t>
      </w:r>
      <w:r w:rsidDel="00000000" w:rsidR="00000000" w:rsidRPr="00000000">
        <w:rPr>
          <w:color w:val="222222"/>
          <w:rtl w:val="0"/>
        </w:rPr>
        <w:t xml:space="preserve">, reducing dependence on human schedules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Standardized, replicable content assets</w:t>
      </w:r>
      <w:r w:rsidDel="00000000" w:rsidR="00000000" w:rsidRPr="00000000">
        <w:rPr>
          <w:color w:val="222222"/>
          <w:rtl w:val="0"/>
        </w:rPr>
        <w:t xml:space="preserve">, enabling matrix-style scaling and expansion</w:t>
      </w:r>
    </w:p>
    <w:p w:rsidR="00000000" w:rsidDel="00000000" w:rsidP="00000000" w:rsidRDefault="00000000" w:rsidRPr="00000000" w14:paraId="00000021">
      <w:pPr>
        <w:spacing w:after="240" w:before="240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ind w:left="-850.3937007874016" w:right="-891.2598425196836" w:firstLine="0"/>
        <w:rPr>
          <w:b w:val="1"/>
          <w:bCs w:val="1"/>
          <w:color w:val="222222"/>
          <w:sz w:val="22"/>
          <w:szCs w:val="22"/>
        </w:rPr>
      </w:pPr>
      <w:bookmarkStart w:colFirst="0" w:colLast="0" w:name="_pt2dizovosqj" w:id="6"/>
      <w:bookmarkEnd w:id="6"/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Three Core Markets, One Coordinated Push</w:t>
        <w:br w:type="textWrapping"/>
        <w:t xml:space="preserve">U.S., Middle East, and Southeast Asia</w:t>
      </w:r>
    </w:p>
    <w:p w:rsidR="00000000" w:rsidDel="00000000" w:rsidP="00000000" w:rsidRDefault="00000000" w:rsidRPr="00000000" w14:paraId="00000023">
      <w:pPr>
        <w:spacing w:after="240" w:before="24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The cooperation will prioritize three strategic regions: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the United States, the Middle East, and Southeast Asia</w:t>
      </w:r>
      <w:r w:rsidDel="00000000" w:rsidR="00000000" w:rsidRPr="00000000">
        <w:rPr>
          <w:color w:val="222222"/>
          <w:rtl w:val="0"/>
        </w:rPr>
        <w:t xml:space="preserve">. The plan includes a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region-specific pricing structure</w:t>
      </w:r>
      <w:r w:rsidDel="00000000" w:rsidR="00000000" w:rsidRPr="00000000">
        <w:rPr>
          <w:color w:val="222222"/>
          <w:rtl w:val="0"/>
        </w:rPr>
        <w:t xml:space="preserve"> and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independent profit accounting</w:t>
      </w:r>
      <w:r w:rsidDel="00000000" w:rsidR="00000000" w:rsidRPr="00000000">
        <w:rPr>
          <w:color w:val="222222"/>
          <w:rtl w:val="0"/>
        </w:rPr>
        <w:t xml:space="preserve">, intended to match different consumer purchasing power, logistics costs, and compliance requirements—while improving efficiency and transparency in cross-border execution.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ind w:left="-850.3937007874016" w:right="-891.2598425196836" w:firstLine="0"/>
        <w:rPr>
          <w:b w:val="1"/>
          <w:bCs w:val="1"/>
          <w:color w:val="222222"/>
          <w:sz w:val="22"/>
          <w:szCs w:val="22"/>
        </w:rPr>
      </w:pPr>
      <w:bookmarkStart w:colFirst="0" w:colLast="0" w:name="_a5y486h0l3va" w:id="7"/>
      <w:bookmarkEnd w:id="7"/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The Ceiling Isn’t Just GMV</w:t>
        <w:br w:type="textWrapping"/>
        <w:t xml:space="preserve">A path toward premium brands and co-branded IP</w:t>
      </w:r>
    </w:p>
    <w:p w:rsidR="00000000" w:rsidDel="00000000" w:rsidP="00000000" w:rsidRDefault="00000000" w:rsidRPr="00000000" w14:paraId="00000025">
      <w:pPr>
        <w:spacing w:after="240" w:before="24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Beyond transaction-based commerce, the strategy points toward higher-margin, longer-cycle brand business. International brand advertising shoots and visual collaborations are expected to be centrally coordinated, alongside plans for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co-branded IP product lines</w:t>
      </w:r>
      <w:r w:rsidDel="00000000" w:rsidR="00000000" w:rsidRPr="00000000">
        <w:rPr>
          <w:color w:val="222222"/>
          <w:rtl w:val="0"/>
        </w:rPr>
        <w:t xml:space="preserve"> spanning beauty, fragrance, and apparel.</w:t>
      </w:r>
    </w:p>
    <w:p w:rsidR="00000000" w:rsidDel="00000000" w:rsidP="00000000" w:rsidRDefault="00000000" w:rsidRPr="00000000" w14:paraId="00000026">
      <w:pPr>
        <w:spacing w:after="240" w:before="24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Analysts interpret this as a clear upgrade in ambition: not simply to expand GMV, but to convert Khaby Lame’s global influence into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priced, accumulated brand equity</w:t>
      </w:r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ind w:left="-850.3937007874016" w:right="-891.2598425196836" w:firstLine="0"/>
        <w:jc w:val="both"/>
        <w:rPr>
          <w:b w:val="1"/>
          <w:bCs w:val="1"/>
          <w:color w:val="222222"/>
          <w:sz w:val="22"/>
          <w:szCs w:val="22"/>
        </w:rPr>
      </w:pPr>
      <w:bookmarkStart w:colFirst="0" w:colLast="0" w:name="_nea5odc913vj" w:id="8"/>
      <w:bookmarkEnd w:id="8"/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Industry Watch: Compliance and Delivery Define the Real Limit</w:t>
      </w:r>
    </w:p>
    <w:p w:rsidR="00000000" w:rsidDel="00000000" w:rsidP="00000000" w:rsidRDefault="00000000" w:rsidRPr="00000000" w14:paraId="00000028">
      <w:pPr>
        <w:spacing w:after="240" w:before="24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As the model scales globally, industry experts emphasize that the final ceiling will be determined by local compliance (data authorization, ad disclosure, consumer protection), cross-border fulfillment and after-sales experience, and AI content risk controls and brand safety.</w:t>
      </w:r>
    </w:p>
    <w:p w:rsidR="00000000" w:rsidDel="00000000" w:rsidP="00000000" w:rsidRDefault="00000000" w:rsidRPr="00000000" w14:paraId="00000029">
      <w:pPr>
        <w:spacing w:after="240" w:before="240" w:lineRule="auto"/>
        <w:ind w:left="-850.3937007874016" w:right="-891.2598425196836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With region-level independent accounting gradually going live, future operating metrics and financial guidance disclosed by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ANPA.US</w:t>
      </w:r>
      <w:r w:rsidDel="00000000" w:rsidR="00000000" w:rsidRPr="00000000">
        <w:rPr>
          <w:color w:val="222222"/>
          <w:rtl w:val="0"/>
        </w:rPr>
        <w:t xml:space="preserve"> are expected to become key reference points for assessing whether this “system” can truly be replicated at scale.</w:t>
      </w:r>
    </w:p>
    <w:p w:rsidR="00000000" w:rsidDel="00000000" w:rsidP="00000000" w:rsidRDefault="00000000" w:rsidRPr="00000000" w14:paraId="0000002A">
      <w:pPr>
        <w:spacing w:after="240" w:before="240" w:lineRule="auto"/>
        <w:ind w:left="-850.3937007874016" w:right="-891.2598425196836" w:firstLine="0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— End —</w:t>
      </w:r>
    </w:p>
    <w:p w:rsidR="00000000" w:rsidDel="00000000" w:rsidP="00000000" w:rsidRDefault="00000000" w:rsidRPr="00000000" w14:paraId="0000002B">
      <w:pPr>
        <w:spacing w:after="240" w:before="240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50.9842519685049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H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rive.google.com/file/d/1M_pSYom3ms0zdHtKGWT05x0hFvwZnR0b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