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850.3937007874016" w:right="-891.2598425196836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新聞稿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.6" w:lineRule="auto"/>
        <w:ind w:left="-850.3937007874016" w:right="-891.2598425196836" w:firstLine="0"/>
        <w:jc w:val="center"/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ANPA.US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收購TikTok一哥Khaby Lame核心公司落地</w:t>
        <w:br w:type="textWrapping"/>
        <w:t xml:space="preserve">獲全球全鏈路獨家運營 流量正式升級為資本級資產 </w:t>
        <w:br w:type="textWrapping"/>
        <w:t xml:space="preserve">3.6億粉絲撬動全球商業化引擎 有望年帶貨銷售額達40億美元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2026年1月11日，香港]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被市場譽為「TikTok一哥」的全球現象級創作者 Khaby Lame，正把其無可比擬的全球影響力，推進到更高一個層級。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1"/>
          <w:iCs w:val="1"/>
          <w:color w:val="222222"/>
          <w:rtl w:val="0"/>
        </w:rPr>
        <w:t xml:space="preserve">美股上市公司 Rich Sparkle Holdings（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ANPA.US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1"/>
          <w:iCs w:val="1"/>
          <w:color w:val="222222"/>
          <w:rtl w:val="0"/>
        </w:rPr>
        <w:t xml:space="preserve">）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今日披露，已完成對 Khaby Lame 核心相關企業 Step Distinctive Limited 的收購。這項進展意味著，全球最大流量IP之一，正式進入「獨家、全鏈路、平台化操盤」的新階段，其商業化不再只是內容合作，而是被納入一套可規模複製的全球系統。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</w:rPr>
        <w:drawing>
          <wp:inline distB="114300" distT="114300" distL="114300" distR="114300">
            <wp:extent cx="3645112" cy="21446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5112" cy="2144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3.6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圖：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TikTok一哥Khaby Lame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擁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全球3.6億粉絲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https://drive.google.com/file/d/1M_pSYom3ms0zdHtKGWT05x0hFvwZnR0b/view?usp=sharing</w:t>
        </w:r>
      </w:hyperlink>
      <w:r w:rsidDel="00000000" w:rsidR="00000000" w:rsidRPr="00000000">
        <w:rPr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全球頂級流量入口</w:t>
        <w:br w:type="textWrapping"/>
        <w:t xml:space="preserve">3.6億粉絲矩陣的跨語言、跨文化影響力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作為全球現象級創作者，Khaby Lame 以極簡、無語言門檻的內容風格，在全球迅速穿透不同文化與市場，全網粉絲矩陣累計達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3.6億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，被市場公認為當前最具全球影響力的內容創作者之一。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業內人士指出，與依賴語言或區域文化的網紅不同，Khaby Lame 的內容具備天然全球化屬性，使其能在多個核心市場同步放量，成為內容電商時代極為稀缺的「全球級流量入口」。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3.6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Khaby Lame成為控股股東深度綁定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此次交易之所以引發市場高度關注，關鍵不僅在於「收購」本身，而在於 Khaby Lame 的角色定位。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根據披露資訊，Khaby Lame 將成為公司的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控股股東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，其影響力從單純的流量入口，正式升級為股權層面的核心資產。這種結構使流量價值與公司資本結構形成同頻共振，也被市場解讀為其長期投入與商業擴張的重要訊號。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分析人士認為，這有助於把短期流量變現與長期品牌建設、跨市場擴張放在同一條利益曲線上，顯著提升整體商業模式的穩定性與想像空間。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3.6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從流量紅利，走向系統轉化率規模上看40億美元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合作方對外釋放的另一個核心預期，是 Khaby Lame 粉絲經濟在商業化端，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年度轉化能力有望達到40億美元以上的銷售額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。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市場認為，這一預期並非僅建立在粉絲規模之上，而是源自一套完整的轉化閉環：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頂級全球流量所形成的巨大曝光與轉化基礎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全鏈路獨家操盤，涵蓋內容策劃、投放與增長、平台店鋪運營、選品定價、供應鏈履約與售後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AI數字人分身技術的引入，使內容產能不再受限於真人檔期與時區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在「流量＋運營＋履約＋技術」四位一體的結構下，40億美元被視為一個建立在系統效率之上的結果假設，而非單點爆發。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3.6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全鏈路獨家接管，平台式運營，而非傳統MCN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協議內容顯示，Khaby Lame 的全球商業化將由單一運營體系統一承接，以全閉環方式覆蓋：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直播與短視頻帶貨的內容策劃與節奏編排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TikTok Shop 的整體代運營與轉化優化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跨境供應鏈協同、質檢品控、履約配送與售後體系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品牌代言、廣告拍攝與視覺內容統籌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·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AI數字人分身（Digital Twin）的商業化開發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業內人士指出，這種「獨家＋全鏈路＋一體化」的結構，本質上更接近平台級作戰體系，有利於在海外市場複用標準化打法，推高頭部IP的流量效率。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3.6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AI數字人分身納入商業化  內容電商走向可複製生產力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協議條款披露，Khaby Lame 授權其 Face ID、Voice ID 及行為模型，用於 AI Digital Twin 的開發。在合規框架下，可製作多語言、多版本內容，並探索跨時區、長時段的虛擬化直播帶貨。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投資者普遍關注的增量集中在兩點：</w:t>
        <w:br w:type="textWrapping"/>
        <w:t xml:space="preserve">一是內容產能上限顯著提升，降低對真人檔期的依賴；</w:t>
        <w:br w:type="textWrapping"/>
        <w:t xml:space="preserve">二是內容資產可標準化、可複製，便於矩陣化運營與規模擴張。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73.6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三大核心市場同步推進  美區・中東・東南亞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據悉，合作將優先聚焦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美區、中東與東南亞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 三大核心市場，並採用區域獨立價格體系與獨立利潤核算機制，以適配不同市場的消費能力、物流成本與合規要求。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273.6" w:lineRule="auto"/>
        <w:ind w:left="-850.3937007874016" w:right="-891.2598425196836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市場認為，此舉有助於提升跨境運營效率與財務透明度，也為後續模型優化與擴張提供清晰數據基礎。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273.6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商業化上限不止於帶貨  直攻國際品牌與聯名IP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除交易型電商外，合作亦指向更高毛利、更長週期的品牌業務。國際大牌與奢侈品牌的廣告拍攝與視覺合作將被統籌推進，同時計畫推出聯名IP產品線，涵蓋美妝、香氛、服飾等品類。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73.6" w:lineRule="auto"/>
        <w:ind w:left="-850.3937007874016" w:right="-891.2598425196836" w:firstLine="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分析人士指出，這代表合作目標不僅是放大GMV，而是把 Khaby Lame 的全球影響力，沉澱為可定價、可累積的品牌資產。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="242.5090909090909" w:lineRule="auto"/>
        <w:ind w:left="-850.3937007874016" w:right="-891.2598425196836" w:firstLine="0"/>
        <w:rPr>
          <w:b w:val="1"/>
          <w:bCs w:val="1"/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222222"/>
          <w:rtl w:val="0"/>
        </w:rPr>
        <w:t xml:space="preserve">行業觀察  合規與交付，決定最終天花板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273.6" w:lineRule="auto"/>
        <w:ind w:left="-850.3937007874016" w:right="-891.2598425196836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業內人士同時提醒，全球化放量的關鍵仍在於本地化合規、跨境履約與售後體驗，以及 AI 內容的風控與品牌安全。隨著各區域獨立核算機制逐步啟動，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ANPA.US</w:t>
        </w:r>
      </w:hyperlink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 後續披露的運營數據與財務指引，將成為市場驗證該模式可複製性的重要觀察點。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-850.3937007874016" w:right="-891.2598425196836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-完-</w:t>
      </w:r>
    </w:p>
    <w:p w:rsidR="00000000" w:rsidDel="00000000" w:rsidP="00000000" w:rsidRDefault="00000000" w:rsidRPr="00000000" w14:paraId="00000027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26.1811023622045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anpa.us/" TargetMode="External"/><Relationship Id="rId9" Type="http://schemas.openxmlformats.org/officeDocument/2006/relationships/hyperlink" Target="https://drive.google.com/file/d/1M_pSYom3ms0zdHtKGWT05x0hFvwZnR0b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://anpa.us/" TargetMode="External"/><Relationship Id="rId7" Type="http://schemas.openxmlformats.org/officeDocument/2006/relationships/hyperlink" Target="http://anpa.us/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